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widowControl/>
      </w:pPr>
      <w:r>
        <w:t>Рамочный договор о сотрудничестве, доступе к МИРА и субагентировании</w:t>
      </w:r>
    </w:p>
    <w:p>
      <w:pPr>
        <w:widowControl/>
      </w:pPr>
      <w:r>
        <w:t>Версия 1.0 • 17 сентября 2026 года • Проект для согласования</w:t>
      </w:r>
    </w:p>
    <w:p>
      <w:pPr>
        <w:widowControl/>
      </w:pPr>
      <w:r>
        <w:t>Это переговорная редакция для юридических лиц и индивидуальных предпринимателей. Публикация, скачивание, просмотр каталога и действия в демонстрационном кабинете не заключают договор. До подписания заполняются реквизиты, подтверждаются полномочия и согласовываются приложения. МИРА — название платформы, а не отдельное юридическое лицо. Этот договор не является договором покупки недвижимости, публичной офертой или обещанием дохода.</w:t>
      </w:r>
    </w:p>
    <w:p>
      <w:pPr>
        <w:widowControl/>
      </w:pPr>
      <w:r>
        <w:t>Договор № [номер]. Место заключения: [место]. Дата подписания: [дата].</w:t>
      </w:r>
    </w:p>
    <w:p>
      <w:pPr>
        <w:widowControl/>
      </w:pPr>
      <w:r>
        <w:t>WEST EAST TRADE GROUP PTE. LTD., юридическое лицо, зарегистрированное в Сингапуре, UEN [подтвердить по актуальному реестру], адрес регистрации [подтвердить], в лице [ФИО, должность], действующего на основании [документ о полномочиях], далее «МИРА», с одной стороны, и [полное наименование юридического лица / ФИО индивидуального предпринимателя], ОГРН / ОГРНИП [номер], ИНН [номер], адрес [адрес], в лице [ФИО, должность], действующего на основании [документ], далее «Агентство», с другой стороны, совместно «Стороны», заключили настоящий договор.</w:t>
      </w:r>
    </w:p>
    <w:p>
      <w:pPr>
        <w:pStyle w:val="Heading1"/>
        <w:keepNext/>
        <w:widowControl/>
      </w:pPr>
      <w:r>
        <w:t>1. Термины и правовая конструкция</w:t>
      </w:r>
    </w:p>
    <w:p>
      <w:pPr>
        <w:widowControl/>
      </w:pPr>
      <w:r>
        <w:t>1.1. Платформа — программно-информационная среда МИРА для ознакомления с проектами, взаимодействия по клиентским запросам, доступа к разрешённым материалам и отображения документально подтверждённых статусов. Конкретный объём доступных функций определяется фактически предоставленным доступом и согласованным заданием.</w:t>
      </w:r>
    </w:p>
    <w:p>
      <w:pPr>
        <w:widowControl/>
      </w:pPr>
      <w:r>
        <w:t>1.2. Девелопер — лицо, с которым у МИРА имеется соответствующее договорное основание на продвижение проекта. Продавец — лицо, указанное продавцом или арендодателем в документах конкретной сделки покупателя. Бренд, оператор комплекса, группа девелопера и Продавец могут различаться; совпадение названий не предполагается.</w:t>
      </w:r>
    </w:p>
    <w:p>
      <w:pPr>
        <w:widowControl/>
      </w:pPr>
      <w:r>
        <w:t>1.3. Проект — комплекс либо отдельное предложение недвижимости, идентифицированное в Проектном поручении. Единица — конкретный объект с номером, характеристиками и документами. Строка исследовательского каталога не является подтверждением наличия Единицы или допуска Проекта к продаже.</w:t>
      </w:r>
    </w:p>
    <w:p>
      <w:pPr>
        <w:widowControl/>
      </w:pPr>
      <w:r>
        <w:t>1.4. Покупатель — потенциальный приобретатель или арендатор недвижимости, с которым Агентство поддерживает отношения. Покупатель не является стороной настоящего договора. Слова «клиент Агентства» описывают деловые отношения и не ограничивают свободу выбора Покупателя.</w:t>
      </w:r>
    </w:p>
    <w:p>
      <w:pPr>
        <w:widowControl/>
      </w:pPr>
      <w:r>
        <w:t>1.5. Проектное поручение — отдельно согласованное обеими Сторонами приложение по форме Приложения 2, определяющее проект, полномочия, разрешённые действия, документы, регистрационные правила и коммерческие условия. Подтверждение сделки — индивидуальная запись по конкретному Покупателю / Единице, составленная по форме Приложения 3.</w:t>
      </w:r>
    </w:p>
    <w:p>
      <w:pPr>
        <w:widowControl/>
      </w:pPr>
      <w:r>
        <w:t>1.6. Регистрация — процедура представления Покупателя Девелоперу по действующим правилам соответствующего проекта. Получение запроса МИРА, принятие МИРА к обработке, отправка Девелоперу и подтверждение Девелопером являются разными событиями.</w:t>
      </w:r>
    </w:p>
    <w:p>
      <w:pPr>
        <w:widowControl/>
      </w:pPr>
      <w:r>
        <w:t>1.7. Комиссия Девелопера — предусмотренное вышестоящим договором вознаграждение, относящееся к конкретной сделке. Полученная комиссия — фактически зачисленные и доступные МИРА средства такой комиссии с учётом отдельно раскрытых и документально подтверждённых корректировок. Вознаграждение Агентства рассчитывается только на согласованной базе и по согласованной формуле.</w:t>
      </w:r>
    </w:p>
    <w:p>
      <w:pPr>
        <w:widowControl/>
      </w:pPr>
      <w:r>
        <w:t>1.8. Договор является рамочным смешанным договором: организационные условия сотрудничества и доступа к Платформе сочетаются с условиями субагентирования в пределах конкретных поручений. По субагентской части МИРА выдаёт поручение и рассчитывается с Агентством; права Агентства не могут превышать права, которыми МИРА располагает по соответствующему вышестоящему договору.</w:t>
      </w:r>
    </w:p>
    <w:p>
      <w:pPr>
        <w:widowControl/>
      </w:pPr>
      <w:r>
        <w:t>1.9. К субагентской части применяются положения главы 52 ГК РФ в применимой части, к рамочным и смешанным условиям — статьи 429.1 и 421 ГК РФ. Само название договора не заменяет оценку фактических действий и обязательных требований законодательства страны их совершения.</w:t>
      </w:r>
    </w:p>
    <w:p>
      <w:pPr>
        <w:pStyle w:val="Heading1"/>
        <w:keepNext/>
        <w:widowControl/>
      </w:pPr>
      <w:r>
        <w:t>2. Предмет и границы сотрудничества</w:t>
      </w:r>
    </w:p>
    <w:p>
      <w:pPr>
        <w:widowControl/>
      </w:pPr>
      <w:r>
        <w:t>2.1. МИРА предоставляет согласованные информационные и организационные возможности Платформы и координирует взаимодействие с Девелопером. Агентство по принятым поручениям самостоятельно осуществляет поиск заинтересованных Покупателей, первичное выяснение запроса, представление разрешённой информации, организацию консультаций и иные прямо согласованные фактические действия. МИРА выплачивает Агентству вознаграждение при выполнении согласованных условий.</w:t>
      </w:r>
    </w:p>
    <w:p>
      <w:pPr>
        <w:widowControl/>
      </w:pPr>
      <w:r>
        <w:t>2.2. Агентство действует под собственным наименованием, своими силами и на собственный обычный операционный риск. Оно сохраняет свою CRM, отношения с Покупателем и организацию работы команды. Установленные договором стандарты информации и безопасности не означают трудового подчинения.</w:t>
      </w:r>
    </w:p>
    <w:p>
      <w:pPr>
        <w:widowControl/>
      </w:pPr>
      <w:r>
        <w:t>2.3. Договор не создаёт товарищество, совместное предприятие, филиал, представительство, трудовые отношения, франшизу или доверительное управление. Ни одна Сторона не вправе представляться сотрудником либо подразделением другой Стороны или Девелопера.</w:t>
      </w:r>
    </w:p>
    <w:p>
      <w:pPr>
        <w:widowControl/>
      </w:pPr>
      <w:r>
        <w:t>2.4. Без отдельного прямо выраженного письменного полномочия Агентство не вправе заключать или менять договоры от имени МИРА либо Продавца, принимать юридически значимые уведомления за них, обещать скидки, гарантировать бронирование, устанавливать условия оплаты, принимать денежные средства Покупателя или создавать обязательства для МИРА.</w:t>
      </w:r>
    </w:p>
    <w:p>
      <w:pPr>
        <w:widowControl/>
      </w:pPr>
      <w:r>
        <w:t>2.5. Покупатель заключает договор недвижимости непосредственно с надлежащим Продавцом. Покупная цена и агентское вознаграждение учитываются отдельно. Настоящий договор не уполномочивает Агентство или МИРА принимать цену объекта и не предусматривает расчётно-платёжную услугу покупателю.</w:t>
      </w:r>
    </w:p>
    <w:p>
      <w:pPr>
        <w:widowControl/>
      </w:pPr>
      <w:r>
        <w:t>2.6. Сотрудничество неэксклюзивно. Каждая Сторона вправе работать с иными партнёрами. Ограничения использования переданных сведений, конфиденциальности и обхода согласованной сделки применяются только в установленном ниже объёме и не являются общим запретом конкуренции.</w:t>
      </w:r>
    </w:p>
    <w:p>
      <w:pPr>
        <w:widowControl/>
      </w:pPr>
      <w:r>
        <w:t>2.7. Общедоступный каталог служит для первоначального изучения. Доступность страны, рекламное упоминание проекта, фотография или счётчик записей не означают действующего поручения. Новые рынки, в том числе Бали, подключаются отдельно; этот договор не подтверждает их фактическую готовность.</w:t>
      </w:r>
    </w:p>
    <w:p>
      <w:pPr>
        <w:pStyle w:val="Heading1"/>
        <w:keepNext/>
        <w:widowControl/>
      </w:pPr>
      <w:r>
        <w:t>3. Проверка Сторон и подключение Агентства</w:t>
      </w:r>
    </w:p>
    <w:p>
      <w:pPr>
        <w:widowControl/>
      </w:pPr>
      <w:r>
        <w:t>3.1. До рабочего подключения Стороны обмениваются необходимыми сведениями о регистрации, действующем статусе, представителях и полномочиях. Перечень и безопасный способ передачи фиксируются в Приложении 1. Избыточные документы и персональные данные не запрашиваются без конкретной цели и основания.</w:t>
      </w:r>
    </w:p>
    <w:p>
      <w:pPr>
        <w:widowControl/>
      </w:pPr>
      <w:r>
        <w:t>3.2. МИРА предоставляет сведения, позволяющие Агентству идентифицировать его договорного контрагента, и подтверждает наличие относящегося к поручению основания взаимодействия с Девелопером. Допускается предоставление заверенной выписки из документа, если она достаточна для проверки и сохраняет охраняемую тайну третьего лица.</w:t>
      </w:r>
    </w:p>
    <w:p>
      <w:pPr>
        <w:widowControl/>
      </w:pPr>
      <w:r>
        <w:t>3.3. Эта редакция предназначена для профессиональной предпринимательской деятельности юридического лица или ИП. Статус самозанятого на НПД не принимается как достаточное основание для исполнения субагентских поручений. Агентство подтверждает применимость своего налогового режима к фактической посреднической деятельности; маскировать её названием информационной услуги не допускается.</w:t>
      </w:r>
    </w:p>
    <w:p>
      <w:pPr>
        <w:widowControl/>
      </w:pPr>
      <w:r>
        <w:t>3.4. При неполноте сведений МИРА направляет конкретный перечень вопросов. Подключение может быть отложено до устранения существенного несоответствия. Отказ должен относиться к объективным обстоятельствам: полномочиям, обязательным ограничениям, недостоверности сведений, безопасности или отсутствию подходящего поручения.</w:t>
      </w:r>
    </w:p>
    <w:p>
      <w:pPr>
        <w:widowControl/>
      </w:pPr>
      <w:r>
        <w:t>3.5. Подписание договора, техническое создание учётной записи, прохождение обучения и коммерческая активация являются отдельными этапами. Ни один из этих этапов сам по себе не подтверждает регистрацию Покупателя или право на комиссию.</w:t>
      </w:r>
    </w:p>
    <w:p>
      <w:pPr>
        <w:widowControl/>
      </w:pPr>
      <w:r>
        <w:t>3.6. Каждая Сторона сообщает об изменении наименования, статуса, полномочий, налогового режима, согласованных контактов и платёжных реквизитов без неоправданной задержки. Изменение получателя выплаты и банковских реквизитов проверяется повторно через ранее согласованный канал.</w:t>
      </w:r>
    </w:p>
    <w:p>
      <w:pPr>
        <w:pStyle w:val="Heading1"/>
        <w:keepNext/>
        <w:widowControl/>
      </w:pPr>
      <w:r>
        <w:t>4. Проектное поручение и допуск предложения</w:t>
      </w:r>
    </w:p>
    <w:p>
      <w:pPr>
        <w:widowControl/>
      </w:pPr>
      <w:r>
        <w:t>4.1. Поручение принимается только после согласования Приложения 2. В нём должны быть заполнены существенные для работы поля: Проект и страна; Девелопер и Продавец либо порядок подтверждения Продавца до сделки; срок полномочий МИРА; допустимость субагентирования; разрешённые действия; источник актуального наличия; материалы; регистрационные правила; база, размер и условия вознаграждения; порядок отчётности и расчётов.</w:t>
      </w:r>
    </w:p>
    <w:p>
      <w:pPr>
        <w:widowControl/>
      </w:pPr>
      <w:r>
        <w:t>4.2. До допуска реального клиентского запроса МИРА проверяет действительность соответствующих прав, период действия документов, относимость комиссионного графика, наличие правил регистрации и отсутствие известного запрета на работу по данной модели. Незаполненное обязательное поле не заменяется рекламной формулировкой.</w:t>
      </w:r>
    </w:p>
    <w:p>
      <w:pPr>
        <w:widowControl/>
      </w:pPr>
      <w:r>
        <w:t>4.3. Каждая критичная запись о наличии, цене, сроке готовности, комиссии или защите должна иметь источник, дату проверки и область действия. При истечении срока актуальности либо противоречии источников статус меняется на «требует подтверждения». Агентство не использует такую запись как окончательные условия предложения.</w:t>
      </w:r>
    </w:p>
    <w:p>
      <w:pPr>
        <w:widowControl/>
      </w:pPr>
      <w:r>
        <w:t>4.4. Изменение условий Девелопером доводится до Агентства с указанием даты, источника, затронутых проектов и сделок. Оно не уменьшает уже возникшее право Агентства на вознаграждение задним числом. Возможность изменения условий по ещё не заключённой сделке определяется применимыми документами и отдельно сообщается Покупателю.</w:t>
      </w:r>
    </w:p>
    <w:p>
      <w:pPr>
        <w:widowControl/>
      </w:pPr>
      <w:r>
        <w:t>4.5. МИРА вправе приостановить новые действия по проекту при прекращении полномочий, отзыве материалов, споре о законности или отсутствии обязательных сведений. Приостановка документируется и не отменяет обязанности отчитаться по ранее выполненным действиям и полученным средствам.</w:t>
      </w:r>
    </w:p>
    <w:p>
      <w:pPr>
        <w:widowControl/>
      </w:pPr>
      <w:r>
        <w:t>4.6. Агентство не обязано принимать любое новое поручение. Молчание, открытие карточки, сохранение проекта в избранное и действие в демонстрационном интерфейсе не считаются принятием поручения.</w:t>
      </w:r>
    </w:p>
    <w:p>
      <w:pPr>
        <w:pStyle w:val="Heading1"/>
        <w:keepNext/>
        <w:widowControl/>
      </w:pPr>
      <w:r>
        <w:t>5. Обязанности МИРА</w:t>
      </w:r>
    </w:p>
    <w:p>
      <w:pPr>
        <w:widowControl/>
      </w:pPr>
      <w:r>
        <w:t>5.1. Предоставлять Агентству согласованные материалы, объяснять последовательность работы, назначать контакт по поручению и сообщать известные существенные ограничения предложения. Не подменять юридического Продавца названием группы или проекта.</w:t>
      </w:r>
    </w:p>
    <w:p>
      <w:pPr>
        <w:widowControl/>
      </w:pPr>
      <w:r>
        <w:t>5.2. Обрабатывать полные клиентские запросы в порядке и сроки, согласованные в поручении; сообщать о недостающих данных; сохранять сведения о получении и последующих изменениях статуса. Если конкретный срок не установлен, действовать без неоправданной задержки и согласовать ожидаемый срок ответа.</w:t>
      </w:r>
    </w:p>
    <w:p>
      <w:pPr>
        <w:widowControl/>
      </w:pPr>
      <w:r>
        <w:t>5.3. Передавать Девелоперу только допустимый минимальный объём данных по согласованному каналу. Обеспечивать документирование результата: принятие, отказ, уточнение, дубликат, конфликт или отсутствие ответа. Не представлять отсутствие ответа как подтверждение регистрации.</w:t>
      </w:r>
    </w:p>
    <w:p>
      <w:pPr>
        <w:widowControl/>
      </w:pPr>
      <w:r>
        <w:t>5.4. Не использовать поступившие от Агентства клиентские сведения для самостоятельной продажи этому Покупателю в обход Агентства, передачи конкурирующему агентству или рекламы иных предложений без отдельного законного основания и согласования. Это обязательство сохраняется после прекращения договора в отношении переданных сведений.</w:t>
      </w:r>
    </w:p>
    <w:p>
      <w:pPr>
        <w:widowControl/>
      </w:pPr>
      <w:r>
        <w:t>5.5. Непосредственная связь МИРА с Покупателем допускается в пределах согласованной задачи, по просьбе Покупателя либо при необходимости устранить угрозу, исполнить обязательное требование или разрешить спор. При отсутствии законного запрета МИРА информирует Агентство о такой связи. Она не считается автоматической сменой обслуживающего агентства.</w:t>
      </w:r>
    </w:p>
    <w:p>
      <w:pPr>
        <w:widowControl/>
      </w:pPr>
      <w:r>
        <w:t>5.6. Вести раздельную идентификацию сделок и комиссионных поступлений; своевременно предъявлять Девелоперу предусмотренные документы и требования; информировать Агентство о просрочке и предпринятых действиях. МИРА не вправе без согласования отказываться от подтверждённой комиссии либо менять её назначение в ущерб Агентству.</w:t>
      </w:r>
    </w:p>
    <w:p>
      <w:pPr>
        <w:widowControl/>
      </w:pPr>
      <w:r>
        <w:t>5.7. Предоставлять отчёты и подтверждения расчёта, выплачивать бесспорные суммы в установленный срок, исправлять ошибочные статусы и расчёты с сохранением истории изменений.</w:t>
      </w:r>
    </w:p>
    <w:p>
      <w:pPr>
        <w:pStyle w:val="Heading1"/>
        <w:keepNext/>
        <w:widowControl/>
      </w:pPr>
      <w:r>
        <w:t>6. Обязанности Агентства</w:t>
      </w:r>
    </w:p>
    <w:p>
      <w:pPr>
        <w:widowControl/>
      </w:pPr>
      <w:r>
        <w:t>6.1. Сообщать Покупателю своё подлинное наименование и роль. Использовать только согласованные актуальные материалы, указывать необходимые оговорки и не обещать гарантированную доходность, рост стоимости, визу, гражданство, беспрепятственный платёж или определённый налоговый результат.</w:t>
      </w:r>
    </w:p>
    <w:p>
      <w:pPr>
        <w:widowControl/>
      </w:pPr>
      <w:r>
        <w:t>6.2. Проверять относимость запроса, получать необходимые полномочия и основания обработки и передачи данных. Агентство не вправе считать наличие телефона в интернете или в купленной базе согласием Покупателя на контакт и передачу застройщику.</w:t>
      </w:r>
    </w:p>
    <w:p>
      <w:pPr>
        <w:widowControl/>
      </w:pPr>
      <w:r>
        <w:t>6.3. До представления окончательного предложения запрашивать подтверждение цены, наличия Единицы, условий владения, продавца и актуальных документов. Разъяснять, что профессиональные юридические, налоговые и технические заключения приобретаются отдельно у надлежащих специалистов.</w:t>
      </w:r>
    </w:p>
    <w:p>
      <w:pPr>
        <w:widowControl/>
      </w:pPr>
      <w:r>
        <w:t>6.4. Своевременно предоставлять фактический отчёт о действиях, сообщать об отказе Покупателя, изменении проекта, брони, оплате, споре и иных известных обстоятельствах, влияющих на регистрацию или комиссию. Не изменять доказательства и не регистрировать заведомо фиктивных клиентов.</w:t>
      </w:r>
    </w:p>
    <w:p>
      <w:pPr>
        <w:widowControl/>
      </w:pPr>
      <w:r>
        <w:t>6.5. Не передавать логины и клиентские выгрузки другим агентствам. Отвечать за действия назначенных пользователей в пределах предоставленных полномочий, организовать их обучение и прекращать доступ уволенных или отстранённых сотрудников.</w:t>
      </w:r>
    </w:p>
    <w:p>
      <w:pPr>
        <w:widowControl/>
      </w:pPr>
      <w:r>
        <w:t>6.6. Не привлекать собственных субагентов и не передавать исполнение поручения без отдельного письменного разрешения МИРА и проверки вышестоящих ограничений. Привлечение сотрудников Агентства не увеличивает его полномочий.</w:t>
      </w:r>
    </w:p>
    <w:p>
      <w:pPr>
        <w:widowControl/>
      </w:pPr>
      <w:r>
        <w:t>6.7. Нести обычные расходы своей деятельности, если Стороны заранее письменно не согласовали конкретные возмещаемые расходы, предельный размер, подтверждающие документы и обязанную Сторону. Несогласованные расходы не удерживаются из комиссии другой Стороны.</w:t>
      </w:r>
    </w:p>
    <w:p>
      <w:pPr>
        <w:pStyle w:val="Heading1"/>
        <w:keepNext/>
        <w:widowControl/>
      </w:pPr>
      <w:r>
        <w:t>7. Клиентская регистрация, защита и конфликт интересов</w:t>
      </w:r>
    </w:p>
    <w:p>
      <w:pPr>
        <w:widowControl/>
      </w:pPr>
      <w:r>
        <w:t>7.1. До передачи идентифицирующих данных используется минимальный внутренний референс Покупателя. Такой референс не объявляется обезличенным, если прямо или косвенно позволяет установить лицо. Паспорт, личные контакты, договор и платёжные документы не помещаются в публичные ссылки, репозиторий или открытый каталог.</w:t>
      </w:r>
    </w:p>
    <w:p>
      <w:pPr>
        <w:widowControl/>
      </w:pPr>
      <w:r>
        <w:t>7.2. Полная регистрация допускается только для назначенного Агентству проекта при наличии согласованных регистрационных правил и основания передачи данных. Обязательные поля, канал, уполномоченный получатель и допустимость тестовой записи фиксируются в Приложении 2.</w:t>
      </w:r>
    </w:p>
    <w:p>
      <w:pPr>
        <w:widowControl/>
      </w:pPr>
      <w:r>
        <w:t>7.3. Подтверждение МИРА о получении содержит референс запроса, время и текущий статус. Подтверждение Девелопера дополнительно содержит идентификатор / доказательство принятия, проект, относимую Единицу при необходимости и условия защиты. Одна квитанция не заменяет другую.</w:t>
      </w:r>
    </w:p>
    <w:p>
      <w:pPr>
        <w:widowControl/>
      </w:pPr>
      <w:r>
        <w:t>7.4. Срок, начало, окончание, продление и исключения защиты определяются письменными правилами конкретного Девелопера и его подтверждением. Общего срока защиты на все проекты нет. МИРА обязана предупредить Агентство о выявленном истечении или отзыве подтверждения.</w:t>
      </w:r>
    </w:p>
    <w:p>
      <w:pPr>
        <w:widowControl/>
      </w:pPr>
      <w:r>
        <w:t>7.5. При дубле Стороны приостанавливают противоречащие друг другу действия и собирают относимые доказательства: момент и содержание контакта, законное основание передачи, предыдущие регистрации, фактическое участие и ответ уполномоченного Девелопера. Передача данных других клиентов или конкурирующих агентств без основания не допускается.</w:t>
      </w:r>
    </w:p>
    <w:p>
      <w:pPr>
        <w:widowControl/>
      </w:pPr>
      <w:r>
        <w:t>7.6. МИРА направляет Агентству мотивированную позицию и доступные подтверждения, предоставляет возможность возражений и организует обращение к уполномоченному контактному лицу Девелопера. Окончательное признание регистрации Девелопером не исключает ответственности Стороны за собственное нарушение настоящего договора.</w:t>
      </w:r>
    </w:p>
    <w:p>
      <w:pPr>
        <w:widowControl/>
      </w:pPr>
      <w:r>
        <w:t>7.7. Агентство не вправе преднамеренно менять референсы, использовать аффилированных лиц или скрывать состоявшуюся сделку для обхода согласованных условий. МИРА не вправе переоформлять подтверждённый запрос на другое агентство для уменьшения причитающегося вознаграждения.</w:t>
      </w:r>
    </w:p>
    <w:p>
      <w:pPr>
        <w:widowControl/>
      </w:pPr>
      <w:r>
        <w:t>7.8. Покупатель сохраняет предусмотренную применимым правом и договором с Девелопером свободу выбора представителя. Смена агентства сама по себе не доказывает нарушение. Последствия для комиссии определяются фактическим участием, действующими правилами и доказательствами, а не односторонним утверждением одной Стороны.</w:t>
      </w:r>
    </w:p>
    <w:p>
      <w:pPr>
        <w:pStyle w:val="Heading1"/>
        <w:keepNext/>
        <w:widowControl/>
      </w:pPr>
      <w:r>
        <w:t>8. Сделка, вознаграждение и расчёты</w:t>
      </w:r>
    </w:p>
    <w:p>
      <w:pPr>
        <w:widowControl/>
      </w:pPr>
      <w:r>
        <w:t>8.1. До начала возмездного поручения Стороны заполняют коммерческую часть Приложения 2: комиссионная база, размер комиссии Девелопера по относимому документу, доля или фиксированная сумма Агентства, валюта, налоги, разрешённые удержания, событие начисления и срок выплаты. Значения не выводятся из общих слоганов, счётчика проектов или справочного калькулятора.</w:t>
      </w:r>
    </w:p>
    <w:p>
      <w:pPr>
        <w:widowControl/>
      </w:pPr>
      <w:r>
        <w:t>8.2. Рекламная формулировка о возможной доле комиссии не является согласованным тарифом. Доли 90/10, 97,5/2,5 либо иные значения не применяются автоматически. Пустое поле означает необходимость согласования, а не нулевое вознаграждение и не право МИРА установить размер единолично.</w:t>
      </w:r>
    </w:p>
    <w:p>
      <w:pPr>
        <w:widowControl/>
      </w:pPr>
      <w:r>
        <w:t>8.3. Право на выплату по субагентской части возникает при выполнении относимых условий: законно принятое поручение; подтверждённое участие Агентства; квалифицирующая сделка; выполнение комиссионных условий Девелопера; получение МИРА соответствующей комиссии. Последнее условие не освобождает МИРА от ответственности за собственное виновное действие или бездействие, из-за которого комиссия утрачена.</w:t>
      </w:r>
    </w:p>
    <w:p>
      <w:pPr>
        <w:widowControl/>
      </w:pPr>
      <w:r>
        <w:t>8.4. Предлагаемый срок выплаты — пять рабочих дней после фактического получения относимой комиссии и полного минимально необходимого расчётного пакета Агентства, если в подписанном Проектном поручении не установлен иной срок. Перечень отсутствующих документов сообщается не позднее двух рабочих дней после выявления недостатка. Нельзя неопределённо откладывать выплату, требуя документы, не относящиеся к расчёту.</w:t>
      </w:r>
    </w:p>
    <w:p>
      <w:pPr>
        <w:widowControl/>
      </w:pPr>
      <w:r>
        <w:t>8.5. При частичном комиссионном поступлении бесспорная соответствующая часть вознаграждения выплачивается пропорционально согласованной базе, если иной поэтапный порядок прямо не установлен поручением. Распределение поступления между несколькими сделками подтверждается документом Девелопера или иным проверяемым основанием.</w:t>
      </w:r>
    </w:p>
    <w:p>
      <w:pPr>
        <w:widowControl/>
      </w:pPr>
      <w:r>
        <w:t>8.6. МИРА отражает в расчёте валовую базу, фактически полученную сумму, каждое допустимое удержание, итоговую базу, долю Агентства и ранее выплаченные суммы. Банковские и иные затраты включаются только если заранее согласованы и подтверждены. Не относящиеся к сделке операционные расходы МИРА не уменьшают выплату.</w:t>
      </w:r>
    </w:p>
    <w:p>
      <w:pPr>
        <w:widowControl/>
      </w:pPr>
      <w:r>
        <w:t>8.7. Каждая Сторона самостоятельно исполняет свои применимые налоговые обязанности. Обязательное удержание производится лишь при наличии относимого основания с предоставлением подтверждения. Указанные в документах третьих лиц налоговые положения не считаются самостоятельным заключением о налоговом режиме Агентства или МИРА.</w:t>
      </w:r>
    </w:p>
    <w:p>
      <w:pPr>
        <w:widowControl/>
      </w:pPr>
      <w:r>
        <w:t>8.8. Выплата производится на проверенный счёт самой договорной Стороны по согласованным реквизитам. Изменение валюты, получателя или способа выплаты требует отдельного письменного согласования и проверки допустимости. Настоящая редакция не устанавливает наличные либо цифровые активы как стандартный способ расчёта.</w:t>
      </w:r>
    </w:p>
    <w:p>
      <w:pPr>
        <w:widowControl/>
      </w:pPr>
      <w:r>
        <w:t>8.9. Если требуется конвертация, до неё согласуются источник курса, момент его фиксации, комиссии и подтверждающий документ. Курс не задаётся программой по умолчанию. Нельзя суммировать разные валюты в единый показатель без раскрытого согласованного пересчёта.</w:t>
      </w:r>
    </w:p>
    <w:p>
      <w:pPr>
        <w:widowControl/>
      </w:pPr>
      <w:r>
        <w:t>8.10. При доказанном возврате или уменьшении ранее полученной комиссии перерасчёт производится только в относящемся к сделке размере. МИРА направляет основание, расчёт и подтверждение фактического возврата / обязательства его совершить. Агентству предоставляется десять рабочих дней для мотивированных возражений; бесспорные суммы возвращаются в согласованный срок. Спорная сумма не удерживается из иных выплат произвольно.</w:t>
      </w:r>
    </w:p>
    <w:p>
      <w:pPr>
        <w:widowControl/>
      </w:pPr>
      <w:r>
        <w:t>8.11. Агентство не несёт риск всей сделки Покупателя и не возмещает МИРА сумму сверх полученного им относимого вознаграждения по одному лишь факту отмены продажи. Самостоятельные доказанные убытки вследствие виновного нарушения рассматриваются по разделу 16.</w:t>
      </w:r>
    </w:p>
    <w:p>
      <w:pPr>
        <w:widowControl/>
      </w:pPr>
      <w:r>
        <w:t>8.12. Отдельная абонентская, организационная, рекламная или платёжная услуга оплачивается лишь по отдельно подписанному заданию с ценой и объёмом. Настоящий договор не вводит скрытую подписку или списание средств за посещение сайта.</w:t>
      </w:r>
    </w:p>
    <w:p>
      <w:pPr>
        <w:pStyle w:val="Heading1"/>
        <w:keepNext/>
        <w:widowControl/>
      </w:pPr>
      <w:r>
        <w:t>9. Отчётность и сверка</w:t>
      </w:r>
    </w:p>
    <w:p>
      <w:pPr>
        <w:widowControl/>
      </w:pPr>
      <w:r>
        <w:t>9.1. Агентство представляет отчёт по поручению после существенного этапа и по окончании поручения, а при длящейся работе — ежемесячно, не позднее пятого рабочего дня следующего месяца, если Стороны не согласовали иной график. Отчёт содержит референсы, фактические действия, результат, относимые подтверждения и отдельно согласованные расходы.</w:t>
      </w:r>
    </w:p>
    <w:p>
      <w:pPr>
        <w:widowControl/>
      </w:pPr>
      <w:r>
        <w:t>9.2. МИРА представляет отчёт о комиссионном поступлении и расчёте выплаты не позднее трёх рабочих дней после идентификации поступления. Отсутствие полного отчёта не даёт права скрыть факт получения комиссии. По запросу Агентства предоставляется относимая выписка с закрытием посторонних операций и данных.</w:t>
      </w:r>
    </w:p>
    <w:p>
      <w:pPr>
        <w:widowControl/>
      </w:pPr>
      <w:r>
        <w:t>9.3. Получившая отчёт Сторона вправе заявить мотивированные возражения в течение тридцати календарных дней с его получения. В отсутствие возражений отчёт считается принятым в отражённой в нём части, кроме явной арифметической ошибки, фальсификации, сокрытого существенного факта и случаев, когда применение этого правила противоречит обязательной норме.</w:t>
      </w:r>
    </w:p>
    <w:p>
      <w:pPr>
        <w:widowControl/>
      </w:pPr>
      <w:r>
        <w:t>9.4. Принятие отчёта не создаёт согласия Покупателя на обработку данных, не подтверждает полномочий Девелопера и не означает признания неотражённых обязательств. Бесспорная часть расчёта исполняется независимо от спора по остальной части.</w:t>
      </w:r>
    </w:p>
    <w:p>
      <w:pPr>
        <w:widowControl/>
      </w:pPr>
      <w:r>
        <w:t>9.5. Корректировки оформляются отдельной записью с причиной, датой, автором и ссылкой на основание. Замена или удаление исходной записи без сохранения истории не допускаются. Платформа является средством фиксации, но не исключает иных допустимых доказательств.</w:t>
      </w:r>
    </w:p>
    <w:p>
      <w:pPr>
        <w:pStyle w:val="Heading1"/>
        <w:keepNext/>
        <w:widowControl/>
      </w:pPr>
      <w:r>
        <w:t>10. Доступ, информационная безопасность и поддержка</w:t>
      </w:r>
    </w:p>
    <w:p>
      <w:pPr>
        <w:widowControl/>
      </w:pPr>
      <w:r>
        <w:t>10.1. Руководитель Агентства согласует список пользователей и роли. Доступ предоставляется индивидуально после проверки полномочий и технической готовности. МИРА не вправе объявлять рабочую регистрацию открытой, пока отсутствуют необходимые организационные и технические меры.</w:t>
      </w:r>
    </w:p>
    <w:p>
      <w:pPr>
        <w:widowControl/>
      </w:pPr>
      <w:r>
        <w:t>10.2. Пользователь видит только назначенные ему данные в согласованном объёме. Агентство обеспечивает конфиденциальность средств доступа, немедленно сообщает о компрометации и не использует общие учётные записи нескольких независимых компаний.</w:t>
      </w:r>
    </w:p>
    <w:p>
      <w:pPr>
        <w:widowControl/>
      </w:pPr>
      <w:r>
        <w:t>10.3. Запрещены обход ограничений доступа, массовая выгрузка чужих данных, вредоносный код, эксплуатация уязвимостей вне согласованного теста, передача доступа третьим лицам и действия, нарушающие права иных пользователей. Разрешённое тестирование фиксируется отдельным письменным заданием с границами нагрузки.</w:t>
      </w:r>
    </w:p>
    <w:p>
      <w:pPr>
        <w:widowControl/>
      </w:pPr>
      <w:r>
        <w:t>10.4. При техническом сбое интерфейс не должен отображать ложное подтверждение операции. Стороны сверяют операцию по устойчивому идентификатору и журналу, а повторный запрос не должен создавать необоснованное второе начисление или регистрацию.</w:t>
      </w:r>
    </w:p>
    <w:p>
      <w:pPr>
        <w:widowControl/>
      </w:pPr>
      <w:r>
        <w:t>10.5. При обоснованной угрозе доступ может быть временно ограничен в минимально необходимом объёме. МИРА сообщает причину, затронутые функции и порядок восстановления, если уведомление не создаёт угрозы безопасности и не запрещено законом. Ограничение доступа не прекращает расчётные обязанности.</w:t>
      </w:r>
    </w:p>
    <w:p>
      <w:pPr>
        <w:widowControl/>
      </w:pPr>
      <w:r>
        <w:t>10.6. Сроки доступности, резервного копирования и реакции поддержки указываются только в реально обеспеченном согласованном регламенте. Этот договор не обещает круглосуточную поддержку или определённый процент доступности без отдельного соглашения.</w:t>
      </w:r>
    </w:p>
    <w:p>
      <w:pPr>
        <w:pStyle w:val="Heading1"/>
        <w:keepNext/>
        <w:widowControl/>
      </w:pPr>
      <w:r>
        <w:t>11. Материалы, интеллектуальные права и реклама</w:t>
      </w:r>
    </w:p>
    <w:p>
      <w:pPr>
        <w:widowControl/>
      </w:pPr>
      <w:r>
        <w:t>11.1. Права на объекты интеллектуальной собственности остаются у их правообладателей. Агентству предоставляется только ограниченное, неисключительное и непередаваемое право использования конкретных материалов в целях исполнения поручения в пределах подтверждённого разрешения.</w:t>
      </w:r>
    </w:p>
    <w:p>
      <w:pPr>
        <w:widowControl/>
      </w:pPr>
      <w:r>
        <w:t>11.2. Допустимая аудитория, каналы, язык, изменения, размещение логотипа, пересылка Покупателю и срок использования фиксируются в реестре материалов. Доступ сотрудника к файлу не равнозначен разрешению размещать его в открытой рекламе или передавать покупателю.</w:t>
      </w:r>
    </w:p>
    <w:p>
      <w:pPr>
        <w:widowControl/>
      </w:pPr>
      <w:r>
        <w:t>11.3. Запрещены удаление чужих водяных знаков, приписывание себе авторства, выдача визуализации за фотографию построенного объекта, изменение планировок и фактических характеристик без разрешения. Истёкшая или отозванная версия материала изымается из дальнейшего использования; если возможно, Стороны уведомляют получателей.</w:t>
      </w:r>
    </w:p>
    <w:p>
      <w:pPr>
        <w:widowControl/>
      </w:pPr>
      <w:r>
        <w:t>11.4. Использование бренда Агентства в индивидуальной подборке не создаёт впечатления, что Агентство является Девелопером или собственником объекта. Наименование МИРА не заменяет указание надлежащего договорного контрагента в юридических документах.</w:t>
      </w:r>
    </w:p>
    <w:p>
      <w:pPr>
        <w:widowControl/>
      </w:pPr>
      <w:r>
        <w:t>11.5. До рекламного размещения определяется, кто выступает рекламодателем и рекламораспространителем, кто отвечает за достоверность, согласия, обязательную маркировку и передачу сведений в предусмотренную законом систему, когда это требуется. Распределение задач между Сторонами не исключает установленную законом ответственность каждой из них.</w:t>
      </w:r>
    </w:p>
    <w:p>
      <w:pPr>
        <w:widowControl/>
      </w:pPr>
      <w:r>
        <w:t>11.6. Рекламные сообщения по телефону, электронной почте и в мессенджерах не направляются без необходимого предварительного согласия и иных применимых оснований. Рекламное согласие не является условием получения согласованной договорной услуги. Отказ обрабатывается без дальнейшей рекламы.</w:t>
      </w:r>
    </w:p>
    <w:p>
      <w:pPr>
        <w:widowControl/>
      </w:pPr>
      <w:r>
        <w:t>11.7. Согласование баннера МИРА не означает согласование его организатором выставки, печатных параметров, прав на фотографии или рекламного кабинета. Для цифрового распространения макета правовой режим проверяется отдельно от печатного размещения.</w:t>
      </w:r>
    </w:p>
    <w:p>
      <w:pPr>
        <w:pStyle w:val="Heading1"/>
        <w:keepNext/>
        <w:widowControl/>
      </w:pPr>
      <w:r>
        <w:t>12. Персональные данные</w:t>
      </w:r>
    </w:p>
    <w:p>
      <w:pPr>
        <w:widowControl/>
      </w:pPr>
      <w:r>
        <w:t>12.1. Стороны до начала обработки определяют её фактические цели, основания и роли. По самостоятельно определяемым целям каждая Сторона является самостоятельным оператором. Обработка исключительно по поручению другой Стороны допускается после отдельного письменного поручения, содержащего необходимые условия и меры защиты.</w:t>
      </w:r>
    </w:p>
    <w:p>
      <w:pPr>
        <w:widowControl/>
      </w:pPr>
      <w:r>
        <w:t>12.2. Общая подпись под настоящим договором не заменяет отдельное согласие субъекта, когда оно требуется. Агентство не даёт согласие за всех своих сотрудников и Покупателей без надлежащих полномочий. Согласие оформляется отдельно от договора и от рекламного согласия, с проверяемой версией и возможностью отзыва.</w:t>
      </w:r>
    </w:p>
    <w:p>
      <w:pPr>
        <w:widowControl/>
      </w:pPr>
      <w:r>
        <w:t>12.3. До первого сбора устанавливаются минимальный перечень данных, цель каждого поля, срок хранения, порядок удаления, фактическое расположение баз, обработчики, перечень получателей и ответственные лица. Название иностранной компании или выбор иностранной инфраструктуры не отменяют применимых требований российского законодательства.</w:t>
      </w:r>
    </w:p>
    <w:p>
      <w:pPr>
        <w:widowControl/>
      </w:pPr>
      <w:r>
        <w:t>12.4. При сборе данных граждан РФ обеспечивается соблюдение части 5 статьи 18 Федерального закона № 152-ФЗ. Иностранная база или иностранный сервис идентификации не включаются как первичный контур сбора в обход данного требования. Согласие на передачу не считается разрешением игнорировать локализацию.</w:t>
      </w:r>
    </w:p>
    <w:p>
      <w:pPr>
        <w:widowControl/>
      </w:pPr>
      <w:r>
        <w:t>12.5. Последующая трансграничная передача оценивается отдельно: конкретная страна и получатель, цель, сведения о защите, необходимые уведомления, ограничения уполномоченного органа и применимое основание. До завершения проверки передача не производится. Настоящий договор не содержит заранее неограниченного разрешения передавать данные любым партнёрам в любые страны.</w:t>
      </w:r>
    </w:p>
    <w:p>
      <w:pPr>
        <w:widowControl/>
      </w:pPr>
      <w:r>
        <w:t>12.6. Данные Покупателей не используются для обучения моделей, открытой аналитики, публикации кейсов или рекламы без самостоятельного основания и необходимых разрешений. Технические журналы минимизируются; секреты, документы и персональные данные не публикуются в GitHub.</w:t>
      </w:r>
    </w:p>
    <w:p>
      <w:pPr>
        <w:widowControl/>
      </w:pPr>
      <w:r>
        <w:t>12.7. При инциденте Стороны немедленно принимают меры по прекращению утечки, сохранению доказательств и защите затронутых лиц, уведомляют друг друга без неоправданной задержки. Срок договорного обмена первичным уведомлением — не позднее двенадцати часов после обнаружения, если более раннее уведомление необходимо для соблюдения закона. Обязанности перед субъектами и регулятором исполняются в установленные законом сроки.</w:t>
      </w:r>
    </w:p>
    <w:p>
      <w:pPr>
        <w:widowControl/>
      </w:pPr>
      <w:r>
        <w:t>12.8. Требования субъекта о доступе, исправлении, прекращении и удалении рассматривает надлежащий оператор. Стороны содействуют друг другу, не создавая препятствий для реализации прав. Хранение после отзыва допускается только при наличии самостоятельного применимого основания и в необходимом объёме.</w:t>
      </w:r>
    </w:p>
    <w:p>
      <w:pPr>
        <w:pStyle w:val="Heading1"/>
        <w:keepNext/>
        <w:widowControl/>
      </w:pPr>
      <w:r>
        <w:t>13. Конфиденциальность</w:t>
      </w:r>
    </w:p>
    <w:p>
      <w:pPr>
        <w:widowControl/>
      </w:pPr>
      <w:r>
        <w:t>13.1. Охраняются непубличные коммерческие условия, договоры с Девелоперами, клиентские сведения, финансовые подтверждения, доступы и иная информация, конфиденциальность которой обозначена либо очевидна из характера. Публично доступные сведения сами по себе не становятся тайной.</w:t>
      </w:r>
    </w:p>
    <w:p>
      <w:pPr>
        <w:widowControl/>
      </w:pPr>
      <w:r>
        <w:t>13.2. Получатель использует сведения только для согласованной цели и предоставляет доступ лицам, которым он объективно необходим и которые связаны соответствующими обязанностями. Передача аудиторам, юристам и органам допускается в необходимом объёме на законном основании.</w:t>
      </w:r>
    </w:p>
    <w:p>
      <w:pPr>
        <w:widowControl/>
      </w:pPr>
      <w:r>
        <w:t>13.3. Обязательство не распространяется на информацию, правомерно известную ранее, независимо разработанную либо законно полученную из другого источника без обязанности сохранять тайну. Бремя подтверждения соответствующего обстоятельства несёт ссылающаяся на него Сторона.</w:t>
      </w:r>
    </w:p>
    <w:p>
      <w:pPr>
        <w:widowControl/>
      </w:pPr>
      <w:r>
        <w:t>13.4. Для коммерческой конфиденциальной информации срок обязательства — три года после прекращения договора, если больший срок не вытекает из отдельного соглашения или закона. Для персональных данных, охраняемых прав и секретов доступа действуют соответствующие специальные требования, а не автоматическое раскрытие по истечении трёх лет.</w:t>
      </w:r>
    </w:p>
    <w:p>
      <w:pPr>
        <w:pStyle w:val="Heading1"/>
        <w:keepNext/>
        <w:widowControl/>
      </w:pPr>
      <w:r>
        <w:t>14. Платёжное сопровождение и обязательные ограничения</w:t>
      </w:r>
    </w:p>
    <w:p>
      <w:pPr>
        <w:widowControl/>
      </w:pPr>
      <w:r>
        <w:t>14.1. Возможность запросить консультацию о платёжном сопровождении является отдельной функцией. Запрос не означает принятия денег, предоставления курса, одобрения банка или гарантии исполнения. Услуга допускается только по отдельным согласованным документам с надлежащим исполнителем и после проверки конкретных сторон и сделки.</w:t>
      </w:r>
    </w:p>
    <w:p>
      <w:pPr>
        <w:widowControl/>
      </w:pPr>
      <w:r>
        <w:t>14.2. Настоящий договор не разрешает изменение назначения платежа, сокрытие плательщика, использование фиктивного договора, обход обязательных ограничений либо передачу чужих банковских средств. Внутренние расчётные механизмы не являются предметом публичной рекламы.</w:t>
      </w:r>
    </w:p>
    <w:p>
      <w:pPr>
        <w:widowControl/>
      </w:pPr>
      <w:r>
        <w:t>14.3. Стороны исполняют применимые требования к рекламе, предпринимательской деятельности, валютным операциям, налогам, противодействию незаконным операциям и ограничениям конкретной юрисдикции. Наличие агентского договора не означает наличия у Сторон банковской, платёжной или иной специальной лицензии.</w:t>
      </w:r>
    </w:p>
    <w:p>
      <w:pPr>
        <w:widowControl/>
      </w:pPr>
      <w:r>
        <w:t>14.4. При изменении обязательного ограничения Стороны уточняют законный способ исполнения или приостанавливают затронутую операцию, раскрывая друг другу причину в допустимом объёме. Это не даёт права присвоить средства, представить ложную исполненную операцию или произвольно аннулировать бесспорный долг.</w:t>
      </w:r>
    </w:p>
    <w:p>
      <w:pPr>
        <w:pStyle w:val="Heading1"/>
        <w:keepNext/>
        <w:widowControl/>
      </w:pPr>
      <w:r>
        <w:t>15. Электронные документы и уведомления</w:t>
      </w:r>
    </w:p>
    <w:p>
      <w:pPr>
        <w:widowControl/>
      </w:pPr>
      <w:r>
        <w:t>15.1. Базовый способ заключения этой редакции — обмен надлежаще подписанными экземплярами либо применение электронной подписи в порядке отдельного соглашения. Контактные адреса и полномочия получателей подтверждаются в Приложении 1.</w:t>
      </w:r>
    </w:p>
    <w:p>
      <w:pPr>
        <w:widowControl/>
      </w:pPr>
      <w:r>
        <w:t>15.2. Для простой электронной подписи Стороны отдельно согласуют способ достоверного определения подписанта, проверку его полномочий, обязанность сохранять ключ в тайне, перечень подписываемых документов, фиксацию версии, времени и результата, порядок отзыва и оспаривания. До этого обычный вход на сайт и отметка чекбокса не признаются Сторонами подписанием настоящего договора.</w:t>
      </w:r>
    </w:p>
    <w:p>
      <w:pPr>
        <w:widowControl/>
      </w:pPr>
      <w:r>
        <w:t>15.3. Организационная переписка по подтверждённым адресам допускается для согласования времени, материалов и уточнения фактов. Изменение вознаграждения, банковских реквизитов, полномочий, поручений обработки данных и существенных условий требует согласованного способа подписания уполномоченным лицом.</w:t>
      </w:r>
    </w:p>
    <w:p>
      <w:pPr>
        <w:widowControl/>
      </w:pPr>
      <w:r>
        <w:t>15.4. Уведомления о прекращении, претензии и изменения реквизитов направляются по указанным в Приложении 1 юридическим адресам и согласованным электронным каналам с доказательством направления и доставки. Момент юридического действия определяется применимым законом и этим договором, а не одним статусом «прочитано» в интерфейсе.</w:t>
      </w:r>
    </w:p>
    <w:p>
      <w:pPr>
        <w:widowControl/>
      </w:pPr>
      <w:r>
        <w:t>15.5. При компрометации канала Сторона немедленно уведомляет по независимому ранее подтверждённому каналу; спорные новые распоряжения приостанавливаются до проверки. Подозрительное письмо о смене счёта не является достаточным основанием выплаты третьему лицу.</w:t>
      </w:r>
    </w:p>
    <w:p>
      <w:pPr>
        <w:pStyle w:val="Heading1"/>
        <w:keepNext/>
        <w:widowControl/>
      </w:pPr>
      <w:r>
        <w:t>16. Ответственность и разрешение ошибок</w:t>
      </w:r>
    </w:p>
    <w:p>
      <w:pPr>
        <w:widowControl/>
      </w:pPr>
      <w:r>
        <w:t>16.1. Сторона отвечает за доказанное нарушение своих обязательств при наличии предусмотренных применимым правом оснований. МИРА не освобождается от ответственности за собственные обещания, недостоверные статусы, виновную утрату комиссии, нарушение конфиденциальности или неправомерное использование клиентских данных ссылкой на действия Девелопера.</w:t>
      </w:r>
    </w:p>
    <w:p>
      <w:pPr>
        <w:widowControl/>
      </w:pPr>
      <w:r>
        <w:t>16.2. Агентство отвечает за действия за пределами полномочий, заведомо недостоверные обещания, незаконную обработку данных в своей сфере и нарушение согласованных прав на материалы. Это не означает его безусловного поручительства по обязательствам Девелопера или Покупателя.</w:t>
      </w:r>
    </w:p>
    <w:p>
      <w:pPr>
        <w:widowControl/>
      </w:pPr>
      <w:r>
        <w:t>16.3. Настоящая редакция не устанавливает общий договорный лимит ответственности, штраф за отказ от покупки либо заранее определённый процент неустойки. Применяются доказанные требования и предусмотренные законом последствия. Отдельный лимит может обсуждаться Сторонами, но не может исключать ответственность за умышленное нарушение или иные обязательные основания.</w:t>
      </w:r>
    </w:p>
    <w:p>
      <w:pPr>
        <w:widowControl/>
      </w:pPr>
      <w:r>
        <w:t>16.4. При выявлении ошибки сначала принимаются разумные меры к исправлению, предотвращению дальнейшего ущерба и сохранению доказательств. Пострадавшая Сторона содействует уменьшению убытков в разумных пределах. Отсутствие технической функции не лишает права на документальную сверку.</w:t>
      </w:r>
    </w:p>
    <w:p>
      <w:pPr>
        <w:widowControl/>
      </w:pPr>
      <w:r>
        <w:t>16.5. МИРА не гарантирует финансовую состоятельность Девелопера, отсутствие будущих строительных задержек, доходность объекта, его ликвидность или результат независимого банка. Известные существенные риски должны быть раскрыты, а не скрыты за общей оговоркой об отсутствии гарантий.</w:t>
      </w:r>
    </w:p>
    <w:p>
      <w:pPr>
        <w:pStyle w:val="Heading1"/>
        <w:keepNext/>
        <w:widowControl/>
      </w:pPr>
      <w:r>
        <w:t>17. Обстоятельства вне контроля, срок и прекращение</w:t>
      </w:r>
    </w:p>
    <w:p>
      <w:pPr>
        <w:widowControl/>
      </w:pPr>
      <w:r>
        <w:t>17.1. Освобождение от ответственности вследствие обстоятельств непреодолимой силы оценивается по применимому праву с учётом чрезвычайности, непредотвратимости и причинной связи. Недостаток денежных средств, отсутствие спроса или обычный сбой контрагента сами по себе не объявляются непреодолимой силой.</w:t>
      </w:r>
    </w:p>
    <w:p>
      <w:pPr>
        <w:widowControl/>
      </w:pPr>
      <w:r>
        <w:t>17.2. Затронутая Сторона сообщает о характере обстоятельства, его влиянии и предполагаемом сроке, представляет доступные подтверждения и принимает разумные меры к продолжению незатронутых обязательств. Сама обязанность перечислить уже полученную бесспорную комиссию не исчезает автоматически.</w:t>
      </w:r>
    </w:p>
    <w:p>
      <w:pPr>
        <w:widowControl/>
      </w:pPr>
      <w:r>
        <w:t>17.3. Предлагаемый срок договора — с момента его заключения на неопределённый срок. Каждая Сторона вправе отказаться от дальнейшего сотрудничества, уведомив другую за тридцать календарных дней, с соблюдением применимых обязательных норм и расчётов по принятым поручениям.</w:t>
      </w:r>
    </w:p>
    <w:p>
      <w:pPr>
        <w:widowControl/>
      </w:pPr>
      <w:r>
        <w:t>17.4. Существенное нарушение, угроза безопасности, прекращение прав на проект или обязательный запрет могут повлечь немедленную приостановку затронутого действия. Расторжение и его последствия оформляются с указанием оснований. Простое изменение рыночной стратегии не считается нарушением другой Стороны.</w:t>
      </w:r>
    </w:p>
    <w:p>
      <w:pPr>
        <w:widowControl/>
      </w:pPr>
      <w:r>
        <w:t>17.5. До завершения отношений составляется реестр незакрытых запросов, сроков защиты, сделок, требований к Девелоперу, полученных и ожидаемых комиссий, разрешённых материалов и подлежащих возврату / удалению данных. Ответственные лица и дальнейшие действия фиксируются письменно.</w:t>
      </w:r>
    </w:p>
    <w:p>
      <w:pPr>
        <w:widowControl/>
      </w:pPr>
      <w:r>
        <w:t>17.6. Прекращение не лишает Агентство вознаграждения по надлежаще выполненным действиям и сделкам, подпадающим под действующие правила поручения, включая поступления после прекращения. Общий бессрочный «хвост» на все будущие покупки клиента не возникает. Относимость каждой последующей сделки подтверждается отдельно.</w:t>
      </w:r>
    </w:p>
    <w:p>
      <w:pPr>
        <w:widowControl/>
      </w:pPr>
      <w:r>
        <w:t>17.7. После прекращения доступ закрывается с сохранением необходимой возможности получить собственные документы и расчёты безопасным способом. Материалы перестают использоваться в пределах прекратившихся прав; обязательства конфиденциальности, обработки данных, отчётности, возвратов и разрешения споров сохраняются в применимой части.</w:t>
      </w:r>
    </w:p>
    <w:p>
      <w:pPr>
        <w:pStyle w:val="Heading1"/>
        <w:keepNext/>
        <w:widowControl/>
      </w:pPr>
      <w:r>
        <w:t>18. Применимое право, споры и заключительные условия</w:t>
      </w:r>
    </w:p>
    <w:p>
      <w:pPr>
        <w:widowControl/>
      </w:pPr>
      <w:r>
        <w:t>18.1. Для настоящего договора Стороны выбирают материальное право Российской Федерации. Этот выбор не распространяется автоматически на договор Покупателя с Продавцом, вещные права на зарубежную недвижимость, регистрацию прав, местные лицензии и иные отношения, регулируемые обязательными нормами иной юрисдикции.</w:t>
      </w:r>
    </w:p>
    <w:p>
      <w:pPr>
        <w:widowControl/>
      </w:pPr>
      <w:r>
        <w:t>18.2. Сначала Стороны направляют письменную претензию с референсами, обстоятельствами, расчётом и требованиями. Предлагаемый срок ответа — тридцать календарных дней с получения, если обязательный процессуальный порядок или соглашение не предусматривает иное. Это не препятствует срочным обеспечительным мерам и защите персональных данных.</w:t>
      </w:r>
    </w:p>
    <w:p>
      <w:pPr>
        <w:widowControl/>
      </w:pPr>
      <w:r>
        <w:t>18.3. Соглашение о конкретном суде / арбитраже отдельно заполняется в Приложении 1 до подписания. Если действительного соглашения нет, компетентный суд определяется применимыми процессуальными и международными нормами. Эта редакция не гарантирует признание и исполнение решения в Сингапуре либо иной стране и не исключает нормы исключительной компетенции.</w:t>
      </w:r>
    </w:p>
    <w:p>
      <w:pPr>
        <w:widowControl/>
      </w:pPr>
      <w:r>
        <w:t>18.4. Приоритет документов: обязательная норма; специально подписанное изменение по конкретной сделке в пределах его предмета; Подтверждение сделки; Проектное поручение; настоящий рамочный договор. Специальное соглашение по данным действует в своей сфере. Веб-страница, рекламный слоган или неподписанная новая версия не меняют согласованные права задним числом.</w:t>
      </w:r>
    </w:p>
    <w:p>
      <w:pPr>
        <w:widowControl/>
      </w:pPr>
      <w:r>
        <w:t>18.5. Уступка требований и перевод обязанностей осуществляются в соответствии с применимым правом и необходимыми согласиями. Передача доступа к Платформе сама по себе не является переводом договора. Недействительность отдельного условия не отменяет остальные условия, если договор может исполняться без него.</w:t>
      </w:r>
    </w:p>
    <w:p>
      <w:pPr>
        <w:widowControl/>
      </w:pPr>
      <w:r>
        <w:t>18.6. Рабочий язык этой редакции — русский. При подготовке двуязычного экземпляра Стороны отдельно устанавливают приоритет текстов. До подписания проверяются корпоративные полномочия, местные разрешения, налоговые последствия и возможность практического исполнения.</w:t>
      </w:r>
    </w:p>
    <w:p>
      <w:pPr>
        <w:widowControl/>
      </w:pPr>
      <w:r>
        <w:t>18.7. Приложения 1–5 являются частью согласованного комплекта после заполнения и подписания. Пустые шаблоны, внутренние комментарии и неподтверждённые предположения не считаются волеизъявлением другой Стороны.</w:t>
      </w:r>
    </w:p>
    <w:p>
      <w:pPr>
        <w:pStyle w:val="Heading1"/>
        <w:keepNext/>
        <w:widowControl/>
      </w:pPr>
      <w:r>
        <w:t>19. Реквизиты и подписи</w:t>
      </w:r>
    </w:p>
    <w:p>
      <w:pPr>
        <w:widowControl/>
      </w:pPr>
      <w:r>
        <w:t>МИРА: WEST EAST TRADE GROUP PTE. LTD. UEN: [подтвердить]. Адрес регистрации: [подтвердить]. Представитель: [ФИО, должность]. Основание полномочий: [документ]. Договорный email: [подтвердить]. Адрес для юридических уведомлений: [подтвердить]. Банковские реквизиты передаются в подписанном закрытом расчётном приложении, а не публикуются в этом образце.</w:t>
      </w:r>
    </w:p>
    <w:p>
      <w:pPr>
        <w:widowControl/>
      </w:pPr>
      <w:r>
        <w:t>Агентство: [полное наименование / ФИО ИП]. ОГРН / ОГРНИП: [номер]. ИНН / КПП: [номера]. Адрес: [адрес]. Представитель: [ФИО, должность]. Основание полномочий: [документ]. Договорный email: [адрес]. Налоговый статус для посреднической деятельности: [подтвердить].</w:t>
      </w:r>
    </w:p>
    <w:p>
      <w:pPr>
        <w:widowControl/>
      </w:pPr>
      <w:r>
        <w:t>От МИРА: __________________ / __________________ / дата __________.</w:t>
      </w:r>
    </w:p>
    <w:p>
      <w:pPr>
        <w:widowControl/>
      </w:pPr>
      <w:r>
        <w:t>От Агентства: ______________ / __________________ / дата __________.</w:t>
      </w:r>
    </w:p>
    <w:p>
      <w:pPr>
        <w:pStyle w:val="Heading1"/>
        <w:keepNext/>
        <w:pageBreakBefore/>
        <w:widowControl/>
      </w:pPr>
      <w:r>
        <w:t>Приложение 1. Карточка подключения и полномочия</w:t>
      </w:r>
    </w:p>
    <w:p>
      <w:pPr>
        <w:widowControl/>
      </w:pPr>
      <w:r>
        <w:t>1. Ссылка на договор, версия и дата: [заполнить]. Юридические реквизиты обеих Сторон проверены по [источник, дата, ответственный]. Корпоративные документы и полномочия хранятся в [защищённая система, без публичной ссылки].</w:t>
      </w:r>
    </w:p>
    <w:p>
      <w:pPr>
        <w:widowControl/>
      </w:pPr>
      <w:r>
        <w:t>2. Руководитель / уполномоченный представитель Агентства: [данные]. Пользователи и роли: [владелец; брокер; разрешённые проекты]. Порядок добавления и отзыва: [контакт, подтверждение полномочий]. Действия, которые вправе подтверждать каждый пользователь: [перечень].</w:t>
      </w:r>
    </w:p>
    <w:p>
      <w:pPr>
        <w:widowControl/>
      </w:pPr>
      <w:r>
        <w:t>3. Проверка налогового режима и предпринимательского статуса: [результат]. НПД для субагентского поручения не подтверждает допустимость режима. При несоответствии рабочее подключение не производится.</w:t>
      </w:r>
    </w:p>
    <w:p>
      <w:pPr>
        <w:widowControl/>
      </w:pPr>
      <w:r>
        <w:t>4. Юридические уведомления: [почтовые адреса; подтверждённые email]. Независимый канал проверки смены реквизитов: [заполнить]. Средство подписи: [бумага / вид электронной подписи и отдельное соглашение]. Список документов, допустимых для электронной подписи: [заполнить].</w:t>
      </w:r>
    </w:p>
    <w:p>
      <w:pPr>
        <w:widowControl/>
      </w:pPr>
      <w:r>
        <w:t>5. Рассмотренный способ разрешения трансграничных споров: [компетентный суд либо арбитраж, место и правила при выборе арбитража]. Решение о выборе принято Сторонами: [подписи]. Проверка исполнения решения в юрисдикции контрагента: [отдельное заключение / не выполнена].</w:t>
      </w:r>
    </w:p>
    <w:p>
      <w:pPr>
        <w:widowControl/>
      </w:pPr>
      <w:r>
        <w:t>6. Контакт по персональным данным и инцидентам: [Сторона, адрес, канал]. Первичная инфраструктура, страны обработки и допущенные обработчики определены в [документ, версия]. При отсутствии сведений приём персональных данных закрыт.</w:t>
      </w:r>
    </w:p>
    <w:p>
      <w:pPr>
        <w:widowControl/>
      </w:pPr>
      <w:r>
        <w:t>7. Никакие банковские реквизиты, номера паспортов, ключи доступа и частные контакты не размещаются в открытой копии Приложения. Отдельный закрытый реестр реквизитов: [идентификатор].</w:t>
      </w:r>
    </w:p>
    <w:p>
      <w:pPr>
        <w:pStyle w:val="Heading1"/>
        <w:keepNext/>
        <w:pageBreakBefore/>
        <w:widowControl/>
      </w:pPr>
      <w:r>
        <w:t>Приложение 2. Проектное поручение и коммерческий график</w:t>
      </w:r>
    </w:p>
    <w:p>
      <w:pPr>
        <w:widowControl/>
      </w:pPr>
      <w:r>
        <w:t>1. Поручение № [номер], версия [версия], период [начало — окончание]. Страна [страна], Проект [точное наименование / ID]. Девелопер [юридическое лицо], бренд [отдельно], Продавец [юридическое лицо или обязательная проверка до клиентского предложения].</w:t>
      </w:r>
    </w:p>
    <w:p>
      <w:pPr>
        <w:widowControl/>
      </w:pPr>
      <w:r>
        <w:t>2. Основание полномочий МИРА: [договор / выписка, дата, срок, проверивший]. Право привлечь независимое Агентство: [прямая оговорка / отдельное разрешение]. Недостаток подтверждения: [в таком случае поручение не запускается].</w:t>
      </w:r>
    </w:p>
    <w:p>
      <w:pPr>
        <w:widowControl/>
      </w:pPr>
      <w:r>
        <w:t>3. Разрешённые действия, территория, языки и аудитория: [перечень]. Запрещённые действия и особые ограничения Девелопера: [перечень]. Ответственные МИРА и Агентства: [согласованные контакты].</w:t>
      </w:r>
    </w:p>
    <w:p>
      <w:pPr>
        <w:widowControl/>
      </w:pPr>
      <w:r>
        <w:t>4. Источник наличия и цены: [ID источника, дата, срок актуальности]. Порядок повторного подтверждения Единицы: [канал и ответственный]. Доступные материалы и права их использования: [реестр, версии, аудитория, срок].</w:t>
      </w:r>
    </w:p>
    <w:p>
      <w:pPr>
        <w:widowControl/>
      </w:pPr>
      <w:r>
        <w:t>5. Регистрация Покупателя: [минимальные поля, законное основание, защищённый канал, получатель, срок ответа]. Принятие подтверждается [форма / ID]. Защита [начало, окончание, исключения, продление]. Дубли и споры [правило приоритета, доказательства, эскалация]. Разрешение синтетического теста [есть / нет; документ].</w:t>
      </w:r>
    </w:p>
    <w:p>
      <w:pPr>
        <w:widowControl/>
      </w:pPr>
      <w:r>
        <w:t>6. Комиссия Девелопера: [база, размер, валюта, документ-источник]. Вознаграждение Агентства: [точная доля базы / фиксированная сумма]. База распределения [до / после конкретных удержаний]. Обязательные налоги и разрешённые затраты [основание, порядок подтверждения]. Значения обязательны; стандартного процента нет.</w:t>
      </w:r>
    </w:p>
    <w:p>
      <w:pPr>
        <w:widowControl/>
      </w:pPr>
      <w:r>
        <w:t>7. Квалифицирующее событие начисления [документ и событие]. Условия выплаты Девелопером [перечень]. Выплата Агентству [пять рабочих дней либо отдельно согласованный срок]. Частичные поступления [порядок]. Invoice / акт / отчёт [перечень]. Возвраты и спорные суммы [документы и процедура].</w:t>
      </w:r>
    </w:p>
    <w:p>
      <w:pPr>
        <w:widowControl/>
      </w:pPr>
      <w:r>
        <w:t>8. Отдельные услуги и расходы [нет / подписанное задание с ценой]. Условия платёжного сопровождения Покупателя не включаются в цену субагентского вознаграждения автоматически.</w:t>
      </w:r>
    </w:p>
    <w:p>
      <w:pPr>
        <w:widowControl/>
      </w:pPr>
      <w:r>
        <w:t>9. Решение о допуске: [допущен / приостановлен / не допущен]. Проверивший [ФИО / роль], дата [дата], незакрытые условия [перечень]. Подписи Сторон [подписи].</w:t>
      </w:r>
    </w:p>
    <w:p>
      <w:pPr>
        <w:pStyle w:val="Heading1"/>
        <w:keepNext/>
        <w:pageBreakBefore/>
        <w:widowControl/>
      </w:pPr>
      <w:r>
        <w:t>Приложение 3. Подтверждение сделки и регистрации</w:t>
      </w:r>
    </w:p>
    <w:p>
      <w:pPr>
        <w:widowControl/>
      </w:pPr>
      <w:r>
        <w:t>1. Договор [номер]; поручение [номер / версия]; Агентство [ID]; брокер [ID]; Покупатель [внутренний референс в закрытом контуре]. Основание передачи [ID доказательства]. Не заполнять персональные данные в публичном образце.</w:t>
      </w:r>
    </w:p>
    <w:p>
      <w:pPr>
        <w:widowControl/>
      </w:pPr>
      <w:r>
        <w:t>2. Проект [ID], Единица [ID либо ещё не выбрана], Продавец [подтверждённое юрлицо]. Запрос получен МИРА [дата, время, ID]. Девелоперу направлен [дата, канал, уполномоченный отправитель]. Подтверждение Девелопера [дата, ID, содержание].</w:t>
      </w:r>
    </w:p>
    <w:p>
      <w:pPr>
        <w:widowControl/>
      </w:pPr>
      <w:r>
        <w:t>3. Статус защиты [не подтверждена / подтверждена / конфликт / истекла]. Период и условия [по документу]. Предыдущая регистрация / дубль [факты и решение, без чужих лишних данных]. Следующий шаг [ответственный, срок].</w:t>
      </w:r>
    </w:p>
    <w:p>
      <w:pPr>
        <w:widowControl/>
      </w:pPr>
      <w:r>
        <w:t>4. Бронирование / договор / платёж [относимые референсы и даты, без копий в публичном каталоге]. Коммерческая формула [ссылка на точную версию Приложения 2; отдельно подписанные отклонения]. Получение комиссии [пока не получена / документ].</w:t>
      </w:r>
    </w:p>
    <w:p>
      <w:pPr>
        <w:widowControl/>
      </w:pPr>
      <w:r>
        <w:t>5. Подтверждено Сторонами [подписи / надлежащая электронная запись]. Подтверждение этих фактов не меняет договор Покупателя и не заменяет одобрение Девелопера.</w:t>
      </w:r>
    </w:p>
    <w:p>
      <w:pPr>
        <w:pStyle w:val="Heading1"/>
        <w:keepNext/>
        <w:pageBreakBefore/>
        <w:widowControl/>
      </w:pPr>
      <w:r>
        <w:t>Приложение 4. Отчёт и расчёт вознаграждения</w:t>
      </w:r>
    </w:p>
    <w:p>
      <w:pPr>
        <w:widowControl/>
      </w:pPr>
      <w:r>
        <w:t>Отчёт № [номер], период [период], поручение [номер]. Выполненные фактические действия [перечень]. Запросы и сделки [референсы]. Результат и подтверждения [перечень]. Предварительно согласованные расходы [документы либо «нет»].</w:t>
      </w:r>
    </w:p>
    <w:p>
      <w:pPr>
        <w:widowControl/>
      </w:pPr>
      <w:r>
        <w:t>Расчёт по каждой сделке отдельно: комиссионная база Девелопера [сумма / валюта]; фактически получено МИРА [сумма / дата / документ]; разрешённые удержания [каждое отдельно]; база Агентства [сумма]; согласованная доля / фиксированная сумма [значение]; начислено Агентству [сумма]; ранее выплачено [сумма]; бесспорно к выплате [сумма]; срок [дата]; подтверждение выплаты [ID]. Разные валюты не суммировать.</w:t>
      </w:r>
    </w:p>
    <w:p>
      <w:pPr>
        <w:widowControl/>
      </w:pPr>
      <w:r>
        <w:t>Корректировки [основание, сумма, относимая сделка]. Спорная часть [предмет и документы]. Бесспорная часть [срок исполнения]. Дата предоставления [дата]; возражения до [дата по договору]; ответственные [Стороны]. Подписи [подписи].</w:t>
      </w:r>
    </w:p>
    <w:p>
      <w:pPr>
        <w:pStyle w:val="Heading1"/>
        <w:keepNext/>
        <w:pageBreakBefore/>
        <w:widowControl/>
      </w:pPr>
      <w:r>
        <w:t>Приложение 5. Закрытие поручения и сохранение прав</w:t>
      </w:r>
    </w:p>
    <w:p>
      <w:pPr>
        <w:widowControl/>
      </w:pPr>
      <w:r>
        <w:t>Дата и основание прекращения [заполнить]. Незакрытые регистрации [ID, проект, статус, окончание защиты]. Сделки в работе [ID, этап]. Комиссии к получению и выплате [отдельно по валютам и доказательствам]. Дальнейшая работа по каждому случаю [ответственный, действие, срок].</w:t>
      </w:r>
    </w:p>
    <w:p>
      <w:pPr>
        <w:widowControl/>
      </w:pPr>
      <w:r>
        <w:t>Материалы [отозванные версии, удаление из публикаций, уведомление получателей]. Учётные записи [закрытие, допустимая выдача собственных документов]. Персональные данные [что удалено, что хранится на самостоятельном основании, срок, ответственный]. Конфиденциальность [сохраняющиеся обязательства].</w:t>
      </w:r>
    </w:p>
    <w:p>
      <w:pPr>
        <w:widowControl/>
      </w:pPr>
      <w:r>
        <w:t>Документально подтверждённые права на относимое вознаграждение после прекращения [перечень]. Неподтверждённые требования [разногласия]. Этот реестр не аннулирует неотражённое право при доказанной ошибке или сокрытии. Подписи Сторон [подписи].</w:t>
      </w:r>
    </w:p>
    <w:sectPr w:rsidR="00FC693F" w:rsidRPr="0006063C" w:rsidSect="00034616">
      <w:headerReference w:type="default" r:id="rId9"/>
      <w:footerReference w:type="default" r:id="rId10"/>
      <w:pgSz w:w="11906" w:h="16838"/>
      <w:pgMar w:top="1361" w:right="1247" w:bottom="1247"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 xml:space="preserve">Не оферта. Согласовать до подписания.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sz w:val="14"/>
      </w:rPr>
      <w:t>МИРА / ДОКУМЕНТЫ ДЛЯ АГЕНТСТВА — ПРОЕКТ 1.0</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83" w:lineRule="auto" w:after="140"/>
    </w:pPr>
    <w:rPr>
      <w:rFonts w:ascii="DejaVu Sans" w:hAnsi="DejaVu Sans"/>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DejaVu Sans" w:hAnsi="DejaVu Sans"/>
      <w:b/>
      <w:bCs/>
      <w:color w:val="192027"/>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DejaVu Sans" w:hAnsi="DejaVu Sans"/>
      <w:color w:val="192027"/>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Рамочный договор о сотрудничестве, доступе к МИРА и субагентировании</dc:title>
  <dc:subject>Переговорная редакция, не оферта</dc:subject>
  <dc:creator>МИРА</dc:creator>
  <cp:keywords/>
  <dc:description>generated by python-docx</dc:description>
  <cp:lastModifiedBy/>
  <cp:revision>1</cp:revision>
  <dcterms:created xsi:type="dcterms:W3CDTF">2013-12-23T23:15:00Z</dcterms:created>
  <dcterms:modified xsi:type="dcterms:W3CDTF">2013-12-23T23:15:00Z</dcterms:modified>
  <cp:category/>
</cp:coreProperties>
</file>